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A9CE46" w14:textId="1CA4CA10" w:rsidR="00134155" w:rsidRDefault="00816C12" w:rsidP="00816C12">
      <w:pPr>
        <w:pStyle w:val="normal0"/>
        <w:spacing w:line="288" w:lineRule="auto"/>
        <w:jc w:val="center"/>
      </w:pPr>
      <w:r>
        <w:rPr>
          <w:b/>
        </w:rPr>
        <w:t xml:space="preserve">                      </w:t>
      </w:r>
      <w:r w:rsidR="00B72E79">
        <w:rPr>
          <w:b/>
        </w:rPr>
        <w:t>Analyzing and Interpreting Data</w:t>
      </w:r>
    </w:p>
    <w:p w14:paraId="785B465E" w14:textId="78E88EC4" w:rsidR="00134155" w:rsidRPr="0049531A" w:rsidRDefault="00816C12" w:rsidP="00816C12">
      <w:pPr>
        <w:pStyle w:val="normal0"/>
        <w:spacing w:line="288" w:lineRule="auto"/>
        <w:jc w:val="center"/>
      </w:pPr>
      <w:r>
        <w:rPr>
          <w:i/>
        </w:rPr>
        <w:t xml:space="preserve">                          </w:t>
      </w:r>
      <w:r w:rsidR="00B72E79" w:rsidRPr="0049531A">
        <w:rPr>
          <w:i/>
        </w:rPr>
        <w:t>Time: 45 minutes</w:t>
      </w:r>
    </w:p>
    <w:p w14:paraId="155F00F3" w14:textId="77777777" w:rsidR="006B7F53" w:rsidRDefault="006B7F53" w:rsidP="006B7F53">
      <w:pPr>
        <w:pStyle w:val="normal0"/>
        <w:rPr>
          <w:b/>
        </w:rPr>
      </w:pPr>
      <w:r>
        <w:rPr>
          <w:b/>
        </w:rPr>
        <w:t xml:space="preserve">Goals: </w:t>
      </w:r>
    </w:p>
    <w:p w14:paraId="78B41848" w14:textId="54A4FECE" w:rsidR="006B7F53" w:rsidRDefault="006B7F53" w:rsidP="006B7F53">
      <w:pPr>
        <w:pStyle w:val="normal0"/>
        <w:numPr>
          <w:ilvl w:val="0"/>
          <w:numId w:val="15"/>
        </w:numPr>
      </w:pPr>
      <w:r>
        <w:t xml:space="preserve">Engage in analyzing and interpreting data </w:t>
      </w:r>
    </w:p>
    <w:p w14:paraId="3014703A" w14:textId="3E8D934B" w:rsidR="006B7F53" w:rsidRDefault="006B7F53" w:rsidP="006B7F53">
      <w:pPr>
        <w:pStyle w:val="normal0"/>
        <w:numPr>
          <w:ilvl w:val="0"/>
          <w:numId w:val="15"/>
        </w:numPr>
      </w:pPr>
      <w:r>
        <w:t xml:space="preserve">Define and give examples of what it means for students to engage in the science practice of analyzing and interpreting data </w:t>
      </w:r>
    </w:p>
    <w:p w14:paraId="4FB414F7" w14:textId="4A952398" w:rsidR="00E4477D" w:rsidRDefault="00E4477D" w:rsidP="006B7F53">
      <w:pPr>
        <w:pStyle w:val="normal0"/>
        <w:numPr>
          <w:ilvl w:val="0"/>
          <w:numId w:val="15"/>
        </w:numPr>
      </w:pPr>
      <w:r>
        <w:t xml:space="preserve">Examine a progression of this science practice for student performance </w:t>
      </w:r>
    </w:p>
    <w:p w14:paraId="5858741E" w14:textId="3E3AC6B1" w:rsidR="006B7F53" w:rsidRDefault="006B7F53" w:rsidP="006B7F53">
      <w:pPr>
        <w:pStyle w:val="normal0"/>
        <w:numPr>
          <w:ilvl w:val="0"/>
          <w:numId w:val="15"/>
        </w:numPr>
      </w:pPr>
      <w:r>
        <w:t>Assess the use of this science practice in current classroom instruction</w:t>
      </w:r>
    </w:p>
    <w:p w14:paraId="5E624037" w14:textId="77777777" w:rsidR="006B7F53" w:rsidRDefault="006B7F53" w:rsidP="006B7F53">
      <w:pPr>
        <w:pStyle w:val="normal0"/>
      </w:pPr>
    </w:p>
    <w:p w14:paraId="7A4678B6" w14:textId="77777777" w:rsidR="006B7F53" w:rsidRDefault="006B7F53" w:rsidP="006B7F53">
      <w:pPr>
        <w:pStyle w:val="normal0"/>
        <w:rPr>
          <w:b/>
        </w:rPr>
      </w:pPr>
      <w:r>
        <w:rPr>
          <w:b/>
        </w:rPr>
        <w:t>Materials:</w:t>
      </w:r>
    </w:p>
    <w:p w14:paraId="554FB704" w14:textId="2DEB40A4" w:rsidR="001763B3" w:rsidRDefault="001842E2" w:rsidP="006B7F53">
      <w:pPr>
        <w:pStyle w:val="normal0"/>
        <w:numPr>
          <w:ilvl w:val="0"/>
          <w:numId w:val="16"/>
        </w:numPr>
      </w:pPr>
      <w:r>
        <w:t>Thermal Energy</w:t>
      </w:r>
      <w:r w:rsidR="001763B3">
        <w:t xml:space="preserve"> Activity handout</w:t>
      </w:r>
    </w:p>
    <w:p w14:paraId="702812F0" w14:textId="1A1756A1" w:rsidR="007B3D02" w:rsidRDefault="007B3D02" w:rsidP="006B7F53">
      <w:pPr>
        <w:pStyle w:val="normal0"/>
        <w:numPr>
          <w:ilvl w:val="0"/>
          <w:numId w:val="16"/>
        </w:numPr>
      </w:pPr>
      <w:r>
        <w:t>Science Practices Definitions and Examples handout</w:t>
      </w:r>
      <w:r w:rsidR="00D66136">
        <w:t xml:space="preserve"> (pg. 3)</w:t>
      </w:r>
    </w:p>
    <w:p w14:paraId="6E2D0A76" w14:textId="51BD4AFE" w:rsidR="001763B3" w:rsidRDefault="001763B3" w:rsidP="006B7F53">
      <w:pPr>
        <w:pStyle w:val="normal0"/>
        <w:numPr>
          <w:ilvl w:val="0"/>
          <w:numId w:val="16"/>
        </w:numPr>
      </w:pPr>
      <w:r>
        <w:t xml:space="preserve">Science Practices Continuum handout </w:t>
      </w:r>
      <w:r w:rsidR="00D66136">
        <w:t>(pg. 2)</w:t>
      </w:r>
    </w:p>
    <w:p w14:paraId="25576799" w14:textId="58DB3655" w:rsidR="00134155" w:rsidRDefault="007B30E3" w:rsidP="00D32F88">
      <w:pPr>
        <w:pStyle w:val="normal0"/>
        <w:numPr>
          <w:ilvl w:val="0"/>
          <w:numId w:val="16"/>
        </w:numPr>
      </w:pPr>
      <w:r>
        <w:t xml:space="preserve">Instructional Strategies handout </w:t>
      </w:r>
    </w:p>
    <w:p w14:paraId="252E0E75" w14:textId="77777777" w:rsidR="00134155" w:rsidRDefault="00134155">
      <w:pPr>
        <w:pStyle w:val="normal0"/>
        <w:ind w:left="360" w:hanging="360"/>
      </w:pPr>
    </w:p>
    <w:p w14:paraId="37DEE6FD" w14:textId="77777777" w:rsidR="007B30E3" w:rsidRDefault="007B30E3">
      <w:pPr>
        <w:pStyle w:val="normal0"/>
        <w:ind w:left="360" w:hanging="360"/>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0"/>
        <w:gridCol w:w="6750"/>
        <w:gridCol w:w="1066"/>
      </w:tblGrid>
      <w:tr w:rsidR="0049531A" w14:paraId="4743FB9F" w14:textId="77777777" w:rsidTr="00CD5330">
        <w:tc>
          <w:tcPr>
            <w:tcW w:w="1760" w:type="dxa"/>
            <w:shd w:val="clear" w:color="auto" w:fill="D9D9D9"/>
          </w:tcPr>
          <w:p w14:paraId="72ED68FB" w14:textId="77777777" w:rsidR="0049531A" w:rsidRDefault="0049531A" w:rsidP="00CD5330">
            <w:pPr>
              <w:pStyle w:val="normal0"/>
              <w:jc w:val="center"/>
            </w:pPr>
            <w:r>
              <w:rPr>
                <w:b/>
              </w:rPr>
              <w:t>Activity</w:t>
            </w:r>
          </w:p>
        </w:tc>
        <w:tc>
          <w:tcPr>
            <w:tcW w:w="6750" w:type="dxa"/>
            <w:shd w:val="clear" w:color="auto" w:fill="D9D9D9"/>
          </w:tcPr>
          <w:p w14:paraId="18E15428" w14:textId="77777777" w:rsidR="0049531A" w:rsidRDefault="0049531A" w:rsidP="00CD5330">
            <w:pPr>
              <w:pStyle w:val="normal0"/>
              <w:jc w:val="center"/>
            </w:pPr>
            <w:r>
              <w:rPr>
                <w:b/>
              </w:rPr>
              <w:t>Description</w:t>
            </w:r>
          </w:p>
        </w:tc>
        <w:tc>
          <w:tcPr>
            <w:tcW w:w="1066" w:type="dxa"/>
            <w:shd w:val="clear" w:color="auto" w:fill="D9D9D9"/>
          </w:tcPr>
          <w:p w14:paraId="17663676" w14:textId="77777777" w:rsidR="0049531A" w:rsidRDefault="0049531A" w:rsidP="00CD5330">
            <w:pPr>
              <w:pStyle w:val="normal0"/>
              <w:jc w:val="center"/>
            </w:pPr>
            <w:r>
              <w:rPr>
                <w:b/>
              </w:rPr>
              <w:t>Time</w:t>
            </w:r>
          </w:p>
        </w:tc>
      </w:tr>
      <w:tr w:rsidR="0049531A" w14:paraId="3189F2EF" w14:textId="77777777" w:rsidTr="006B7F53">
        <w:trPr>
          <w:trHeight w:val="620"/>
        </w:trPr>
        <w:tc>
          <w:tcPr>
            <w:tcW w:w="1760" w:type="dxa"/>
          </w:tcPr>
          <w:p w14:paraId="1618E9CA" w14:textId="77777777" w:rsidR="0049531A" w:rsidRPr="0049531A" w:rsidRDefault="0049531A" w:rsidP="00CD5330">
            <w:pPr>
              <w:pStyle w:val="normal0"/>
            </w:pPr>
            <w:r w:rsidRPr="0049531A">
              <w:t>Defining “Analyzing and Interpreting Data”</w:t>
            </w:r>
          </w:p>
          <w:p w14:paraId="54CDBADB" w14:textId="77777777" w:rsidR="0049531A" w:rsidRPr="0049531A" w:rsidRDefault="0049531A" w:rsidP="00CD5330">
            <w:pPr>
              <w:pStyle w:val="normal0"/>
              <w:rPr>
                <w:highlight w:val="yellow"/>
              </w:rPr>
            </w:pPr>
          </w:p>
          <w:p w14:paraId="7386408B" w14:textId="77777777" w:rsidR="0049531A" w:rsidRPr="0049531A" w:rsidRDefault="0049531A" w:rsidP="00CD5330">
            <w:pPr>
              <w:pStyle w:val="normal0"/>
              <w:rPr>
                <w:highlight w:val="yellow"/>
              </w:rPr>
            </w:pPr>
          </w:p>
        </w:tc>
        <w:tc>
          <w:tcPr>
            <w:tcW w:w="6750" w:type="dxa"/>
          </w:tcPr>
          <w:p w14:paraId="333A3D79" w14:textId="77777777" w:rsidR="00CD5330" w:rsidRDefault="00CD5330" w:rsidP="0049531A">
            <w:pPr>
              <w:pStyle w:val="normal0"/>
              <w:numPr>
                <w:ilvl w:val="0"/>
                <w:numId w:val="12"/>
              </w:numPr>
              <w:contextualSpacing/>
            </w:pPr>
            <w:r>
              <w:t>Conduct a think-pair-share with the following questions:</w:t>
            </w:r>
          </w:p>
          <w:p w14:paraId="5C550BD8" w14:textId="21E336C0" w:rsidR="00CD5330" w:rsidRDefault="00CD5330" w:rsidP="00CD5330">
            <w:pPr>
              <w:pStyle w:val="normal0"/>
              <w:numPr>
                <w:ilvl w:val="1"/>
                <w:numId w:val="12"/>
              </w:numPr>
              <w:contextualSpacing/>
            </w:pPr>
            <w:r>
              <w:t>What do you think “analyzing and interpreting data” looks like in a science classroom?</w:t>
            </w:r>
          </w:p>
          <w:p w14:paraId="24B829A9" w14:textId="77777777" w:rsidR="00CD5330" w:rsidRDefault="00CD5330" w:rsidP="00CD5330">
            <w:pPr>
              <w:pStyle w:val="normal0"/>
              <w:numPr>
                <w:ilvl w:val="1"/>
                <w:numId w:val="12"/>
              </w:numPr>
              <w:contextualSpacing/>
            </w:pPr>
            <w:r>
              <w:t>What are students doing?</w:t>
            </w:r>
          </w:p>
          <w:p w14:paraId="01745C85" w14:textId="7EC68FD2" w:rsidR="00CD5330" w:rsidRDefault="00CD5330" w:rsidP="00CD5330">
            <w:pPr>
              <w:pStyle w:val="normal0"/>
              <w:numPr>
                <w:ilvl w:val="1"/>
                <w:numId w:val="12"/>
              </w:numPr>
              <w:contextualSpacing/>
            </w:pPr>
            <w:r>
              <w:t>What is the teacher doing?</w:t>
            </w:r>
          </w:p>
          <w:p w14:paraId="42BB7B15" w14:textId="4747B4EE" w:rsidR="00CD5330" w:rsidRDefault="00CD5330" w:rsidP="00CD5330">
            <w:pPr>
              <w:pStyle w:val="normal0"/>
              <w:numPr>
                <w:ilvl w:val="0"/>
                <w:numId w:val="12"/>
              </w:numPr>
              <w:contextualSpacing/>
            </w:pPr>
            <w:r w:rsidRPr="00CD5330">
              <w:t>Share and read text from sciencepracticesleadership.com, which de</w:t>
            </w:r>
            <w:r>
              <w:t>fines th</w:t>
            </w:r>
            <w:r w:rsidR="006B7F53">
              <w:t>is science practice as</w:t>
            </w:r>
            <w:r>
              <w:t xml:space="preserve"> students “making sense of the data produced during investigations. Because patterns are not always obvious, this includes using a range of tools such as tables, graphs and other visualization techniques.”</w:t>
            </w:r>
          </w:p>
          <w:p w14:paraId="69FC39A9" w14:textId="4CAFB384" w:rsidR="0049531A" w:rsidRPr="006B7F53" w:rsidRDefault="00CD5330" w:rsidP="006B7F53">
            <w:pPr>
              <w:pStyle w:val="normal0"/>
              <w:numPr>
                <w:ilvl w:val="0"/>
                <w:numId w:val="12"/>
              </w:numPr>
              <w:contextualSpacing/>
            </w:pPr>
            <w:r>
              <w:t xml:space="preserve">Tie this definition to </w:t>
            </w:r>
            <w:r w:rsidR="006B7F53">
              <w:t xml:space="preserve">the teachers’ earlier understanding of </w:t>
            </w:r>
            <w:r>
              <w:t xml:space="preserve">this science practice </w:t>
            </w:r>
          </w:p>
        </w:tc>
        <w:tc>
          <w:tcPr>
            <w:tcW w:w="1066" w:type="dxa"/>
          </w:tcPr>
          <w:p w14:paraId="0C3CF784" w14:textId="77777777" w:rsidR="0049531A" w:rsidRPr="006B7F53" w:rsidRDefault="0049531A" w:rsidP="00CD5330">
            <w:pPr>
              <w:pStyle w:val="normal0"/>
              <w:jc w:val="center"/>
            </w:pPr>
            <w:r w:rsidRPr="006B7F53">
              <w:t>5 min</w:t>
            </w:r>
          </w:p>
          <w:p w14:paraId="19F044BE" w14:textId="77777777" w:rsidR="0049531A" w:rsidRPr="0049531A" w:rsidRDefault="0049531A" w:rsidP="00CD5330">
            <w:pPr>
              <w:pStyle w:val="normal0"/>
              <w:jc w:val="center"/>
              <w:rPr>
                <w:highlight w:val="yellow"/>
              </w:rPr>
            </w:pPr>
          </w:p>
        </w:tc>
      </w:tr>
      <w:tr w:rsidR="006B7F53" w14:paraId="23E57D2F" w14:textId="77777777" w:rsidTr="006B7F53">
        <w:trPr>
          <w:trHeight w:val="620"/>
        </w:trPr>
        <w:tc>
          <w:tcPr>
            <w:tcW w:w="1760" w:type="dxa"/>
          </w:tcPr>
          <w:p w14:paraId="14574F1E" w14:textId="7D9D044C" w:rsidR="006B7F53" w:rsidRPr="0049531A" w:rsidRDefault="001842E2" w:rsidP="00CD5330">
            <w:pPr>
              <w:pStyle w:val="normal0"/>
            </w:pPr>
            <w:r>
              <w:t>Thermal Energy</w:t>
            </w:r>
            <w:r w:rsidR="006B7F53">
              <w:t xml:space="preserve"> Activity</w:t>
            </w:r>
          </w:p>
        </w:tc>
        <w:tc>
          <w:tcPr>
            <w:tcW w:w="6750" w:type="dxa"/>
          </w:tcPr>
          <w:p w14:paraId="36454E78" w14:textId="46B5C5F1" w:rsidR="006B7F53" w:rsidRDefault="006B7F53" w:rsidP="00D704DA">
            <w:pPr>
              <w:pStyle w:val="normal0"/>
              <w:numPr>
                <w:ilvl w:val="0"/>
                <w:numId w:val="17"/>
              </w:numPr>
              <w:ind w:left="425"/>
              <w:contextualSpacing/>
            </w:pPr>
            <w:r>
              <w:t xml:space="preserve">Distribute </w:t>
            </w:r>
            <w:r w:rsidR="001842E2">
              <w:t>the Thermal Energy</w:t>
            </w:r>
            <w:r w:rsidR="00FE32DB">
              <w:t xml:space="preserve"> Activity handout</w:t>
            </w:r>
            <w:r>
              <w:t xml:space="preserve"> to each participant</w:t>
            </w:r>
          </w:p>
          <w:p w14:paraId="2C991A01" w14:textId="4B4E33E5" w:rsidR="00816CB6" w:rsidRDefault="00FE32DB" w:rsidP="00D704DA">
            <w:pPr>
              <w:pStyle w:val="normal0"/>
              <w:numPr>
                <w:ilvl w:val="0"/>
                <w:numId w:val="17"/>
              </w:numPr>
              <w:ind w:left="425"/>
              <w:contextualSpacing/>
            </w:pPr>
            <w:r>
              <w:t>Have teachers work in groups of 2-3 to complete the activity and answer the conclusion</w:t>
            </w:r>
            <w:r w:rsidR="00816CB6">
              <w:t xml:space="preserve"> questions. The graph </w:t>
            </w:r>
            <w:r>
              <w:t>tea</w:t>
            </w:r>
            <w:r w:rsidR="00816CB6">
              <w:t>chers create may look like</w:t>
            </w:r>
            <w:r w:rsidR="007B30E3">
              <w:t xml:space="preserve"> this </w:t>
            </w:r>
            <w:r w:rsidR="007B30E3">
              <w:sym w:font="Wingdings" w:char="F0E0"/>
            </w:r>
            <w:r w:rsidR="007B30E3">
              <w:t xml:space="preserve"> </w:t>
            </w:r>
          </w:p>
          <w:p w14:paraId="6D6A6C70" w14:textId="77777777" w:rsidR="00C512CA" w:rsidRDefault="007B30E3" w:rsidP="00D704DA">
            <w:pPr>
              <w:pStyle w:val="normal0"/>
              <w:numPr>
                <w:ilvl w:val="0"/>
                <w:numId w:val="17"/>
              </w:numPr>
              <w:ind w:left="425"/>
              <w:contextualSpacing/>
            </w:pPr>
            <w:r>
              <w:rPr>
                <w:noProof/>
              </w:rPr>
              <w:drawing>
                <wp:anchor distT="0" distB="0" distL="114300" distR="114300" simplePos="0" relativeHeight="251658240" behindDoc="0" locked="0" layoutInCell="1" allowOverlap="1" wp14:anchorId="7D504E00" wp14:editId="69174DA5">
                  <wp:simplePos x="0" y="0"/>
                  <wp:positionH relativeFrom="column">
                    <wp:posOffset>2384425</wp:posOffset>
                  </wp:positionH>
                  <wp:positionV relativeFrom="paragraph">
                    <wp:posOffset>-813435</wp:posOffset>
                  </wp:positionV>
                  <wp:extent cx="1714500" cy="2075180"/>
                  <wp:effectExtent l="0" t="0" r="12700" b="7620"/>
                  <wp:wrapTight wrapText="bothSides">
                    <wp:wrapPolygon edited="0">
                      <wp:start x="0" y="0"/>
                      <wp:lineTo x="0" y="21415"/>
                      <wp:lineTo x="21440" y="21415"/>
                      <wp:lineTo x="21440" y="0"/>
                      <wp:lineTo x="0" y="0"/>
                    </wp:wrapPolygon>
                  </wp:wrapTight>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714500" cy="2075180"/>
                          </a:xfrm>
                          <a:prstGeom prst="rect">
                            <a:avLst/>
                          </a:prstGeom>
                          <a:ln/>
                        </pic:spPr>
                      </pic:pic>
                    </a:graphicData>
                  </a:graphic>
                  <wp14:sizeRelH relativeFrom="page">
                    <wp14:pctWidth>0</wp14:pctWidth>
                  </wp14:sizeRelH>
                  <wp14:sizeRelV relativeFrom="page">
                    <wp14:pctHeight>0</wp14:pctHeight>
                  </wp14:sizeRelV>
                </wp:anchor>
              </w:drawing>
            </w:r>
            <w:r w:rsidR="00C512CA">
              <w:t xml:space="preserve">Facilitate a whole group discussion around the following questions: </w:t>
            </w:r>
          </w:p>
          <w:p w14:paraId="5A437F44" w14:textId="77777777" w:rsidR="00474E7D" w:rsidRDefault="00C512CA" w:rsidP="00D704DA">
            <w:pPr>
              <w:pStyle w:val="normal0"/>
              <w:numPr>
                <w:ilvl w:val="1"/>
                <w:numId w:val="17"/>
              </w:numPr>
              <w:ind w:left="965"/>
              <w:contextualSpacing/>
            </w:pPr>
            <w:r>
              <w:rPr>
                <w:u w:val="single"/>
              </w:rPr>
              <w:t>H</w:t>
            </w:r>
            <w:r w:rsidR="00816CB6">
              <w:rPr>
                <w:u w:val="single"/>
              </w:rPr>
              <w:t>ow</w:t>
            </w:r>
            <w:r w:rsidR="00816CB6">
              <w:rPr>
                <w:i/>
              </w:rPr>
              <w:t xml:space="preserve"> </w:t>
            </w:r>
            <w:r>
              <w:t>did you</w:t>
            </w:r>
            <w:r w:rsidR="00816CB6" w:rsidRPr="00816CB6">
              <w:t xml:space="preserve"> </w:t>
            </w:r>
            <w:r>
              <w:t>analyze and interpret</w:t>
            </w:r>
            <w:r w:rsidR="00474E7D">
              <w:t xml:space="preserve"> </w:t>
            </w:r>
            <w:r w:rsidR="00816CB6" w:rsidRPr="00816CB6">
              <w:t xml:space="preserve">data </w:t>
            </w:r>
            <w:r w:rsidR="00816CB6">
              <w:t xml:space="preserve">during this activity. </w:t>
            </w:r>
            <w:r w:rsidR="00474E7D">
              <w:t>What types of things did you do?</w:t>
            </w:r>
          </w:p>
          <w:p w14:paraId="78BA1058" w14:textId="77777777" w:rsidR="00474E7D" w:rsidRDefault="00474E7D" w:rsidP="00D704DA">
            <w:pPr>
              <w:pStyle w:val="normal0"/>
              <w:numPr>
                <w:ilvl w:val="2"/>
                <w:numId w:val="17"/>
              </w:numPr>
              <w:ind w:left="1505"/>
              <w:contextualSpacing/>
            </w:pPr>
            <w:r>
              <w:t xml:space="preserve">Record comments that relate to this science </w:t>
            </w:r>
            <w:r>
              <w:lastRenderedPageBreak/>
              <w:t>practice, making sure to include the types of data, and the ways that data can be interpreted. Groups may also share their graphs during this time. As groups share out, highlight the following as they are mentioned:</w:t>
            </w:r>
          </w:p>
          <w:p w14:paraId="1511F2C3" w14:textId="77777777" w:rsidR="00474E7D" w:rsidRPr="00816CB6" w:rsidRDefault="00474E7D" w:rsidP="00D704DA">
            <w:pPr>
              <w:pStyle w:val="normal0"/>
              <w:numPr>
                <w:ilvl w:val="3"/>
                <w:numId w:val="17"/>
              </w:numPr>
              <w:ind w:left="2045"/>
              <w:contextualSpacing/>
            </w:pPr>
            <w:r>
              <w:rPr>
                <w:i/>
              </w:rPr>
              <w:t>Analyze and interpret data to determine patterns and relationships</w:t>
            </w:r>
          </w:p>
          <w:p w14:paraId="6C9AE0CE" w14:textId="77777777" w:rsidR="00474E7D" w:rsidRPr="00816CB6" w:rsidRDefault="00474E7D" w:rsidP="00D704DA">
            <w:pPr>
              <w:pStyle w:val="normal0"/>
              <w:numPr>
                <w:ilvl w:val="3"/>
                <w:numId w:val="17"/>
              </w:numPr>
              <w:ind w:left="2045"/>
              <w:contextualSpacing/>
            </w:pPr>
            <w:r>
              <w:rPr>
                <w:i/>
              </w:rPr>
              <w:t>Represent data in tables and graphs to reveal patterns and relationships</w:t>
            </w:r>
          </w:p>
          <w:p w14:paraId="1F9D8312" w14:textId="6E2B9B01" w:rsidR="00474E7D" w:rsidRPr="00C249A5" w:rsidRDefault="00474E7D" w:rsidP="00D704DA">
            <w:pPr>
              <w:pStyle w:val="normal0"/>
              <w:numPr>
                <w:ilvl w:val="3"/>
                <w:numId w:val="17"/>
              </w:numPr>
              <w:ind w:left="2045"/>
              <w:contextualSpacing/>
            </w:pPr>
            <w:r>
              <w:rPr>
                <w:i/>
              </w:rPr>
              <w:t>Consider the limitations of data analysis as sources of error</w:t>
            </w:r>
          </w:p>
          <w:p w14:paraId="0ED17210" w14:textId="451A75AE" w:rsidR="008022E8" w:rsidRPr="008022E8" w:rsidRDefault="00474E7D" w:rsidP="00D704DA">
            <w:pPr>
              <w:pStyle w:val="normal0"/>
              <w:numPr>
                <w:ilvl w:val="1"/>
                <w:numId w:val="17"/>
              </w:numPr>
              <w:ind w:left="965"/>
              <w:contextualSpacing/>
              <w:rPr>
                <w:rFonts w:ascii="Open Sans" w:hAnsi="Open Sans"/>
                <w:color w:val="767676"/>
                <w:sz w:val="23"/>
                <w:szCs w:val="23"/>
              </w:rPr>
            </w:pPr>
            <w:r>
              <w:t>Re-examine questions “a” through “e” on the activity handout. Which of these question(s) do you think focus most on “analyzing and interpreting data”? Why do you think so?</w:t>
            </w:r>
          </w:p>
          <w:p w14:paraId="55282695" w14:textId="18621F2A" w:rsidR="008022E8" w:rsidRPr="008022E8" w:rsidRDefault="008022E8" w:rsidP="00D704DA">
            <w:pPr>
              <w:pStyle w:val="normal0"/>
              <w:numPr>
                <w:ilvl w:val="0"/>
                <w:numId w:val="23"/>
              </w:numPr>
              <w:ind w:left="1505"/>
              <w:contextualSpacing/>
              <w:rPr>
                <w:rFonts w:ascii="Open Sans" w:hAnsi="Open Sans"/>
                <w:color w:val="767676"/>
                <w:sz w:val="23"/>
                <w:szCs w:val="23"/>
              </w:rPr>
            </w:pPr>
            <w:r>
              <w:t>It might be helpful to re-show teachers the definition of this science practice</w:t>
            </w:r>
            <w:r w:rsidR="00C52783">
              <w:t>.</w:t>
            </w:r>
          </w:p>
          <w:p w14:paraId="74E6A2C1" w14:textId="2A349AC0" w:rsidR="008022E8" w:rsidRPr="008022E8" w:rsidRDefault="008022E8" w:rsidP="00D704DA">
            <w:pPr>
              <w:pStyle w:val="normal0"/>
              <w:numPr>
                <w:ilvl w:val="0"/>
                <w:numId w:val="23"/>
              </w:numPr>
              <w:ind w:left="1505"/>
              <w:contextualSpacing/>
              <w:rPr>
                <w:rFonts w:ascii="Open Sans" w:hAnsi="Open Sans"/>
                <w:color w:val="767676"/>
                <w:sz w:val="23"/>
                <w:szCs w:val="23"/>
              </w:rPr>
            </w:pPr>
            <w:r>
              <w:t xml:space="preserve">Teachers might bring up that question “a” aligns with “using mathematical and computational thinking”, </w:t>
            </w:r>
            <w:r w:rsidR="003F0980">
              <w:t xml:space="preserve">questions “b” through “d” align with “analyzing and interpreting data”, </w:t>
            </w:r>
            <w:r>
              <w:t xml:space="preserve">and </w:t>
            </w:r>
            <w:r w:rsidR="003F0980">
              <w:t xml:space="preserve">that </w:t>
            </w:r>
            <w:r>
              <w:t>question “e” pushes a bit beyond this practice and starts getting into “constructing explanations”</w:t>
            </w:r>
          </w:p>
          <w:p w14:paraId="7482E419" w14:textId="14401DED" w:rsidR="00124A22" w:rsidRDefault="00124A22" w:rsidP="00D704DA">
            <w:pPr>
              <w:pStyle w:val="normal0"/>
              <w:numPr>
                <w:ilvl w:val="0"/>
                <w:numId w:val="17"/>
              </w:numPr>
              <w:tabs>
                <w:tab w:val="left" w:pos="425"/>
              </w:tabs>
              <w:ind w:left="335"/>
              <w:contextualSpacing/>
            </w:pPr>
            <w:r>
              <w:t>Once the activity is over, point out the ways that teachers engaged in this science practice during this activity</w:t>
            </w:r>
            <w:r w:rsidR="007B3D02">
              <w:t xml:space="preserve">. During this discussion pass out </w:t>
            </w:r>
            <w:r w:rsidR="00D66136" w:rsidRPr="00A44A86">
              <w:rPr>
                <w:u w:val="single"/>
              </w:rPr>
              <w:t>page 3</w:t>
            </w:r>
            <w:r w:rsidR="00D66136">
              <w:t xml:space="preserve"> of </w:t>
            </w:r>
            <w:r w:rsidR="007B3D02">
              <w:t>the Science Practices Definitions and Examples handout</w:t>
            </w:r>
          </w:p>
        </w:tc>
        <w:tc>
          <w:tcPr>
            <w:tcW w:w="1066" w:type="dxa"/>
          </w:tcPr>
          <w:p w14:paraId="5C7587BE" w14:textId="331DBE63" w:rsidR="006B7F53" w:rsidRPr="006B7F53" w:rsidRDefault="00A61322" w:rsidP="00CD5330">
            <w:pPr>
              <w:pStyle w:val="normal0"/>
              <w:jc w:val="center"/>
            </w:pPr>
            <w:r>
              <w:lastRenderedPageBreak/>
              <w:t>15 min</w:t>
            </w:r>
          </w:p>
        </w:tc>
      </w:tr>
      <w:tr w:rsidR="0049531A" w14:paraId="4DAF6E86" w14:textId="77777777" w:rsidTr="00CD5330">
        <w:trPr>
          <w:trHeight w:val="840"/>
        </w:trPr>
        <w:tc>
          <w:tcPr>
            <w:tcW w:w="1760" w:type="dxa"/>
          </w:tcPr>
          <w:p w14:paraId="1439805C" w14:textId="0BD1E882" w:rsidR="0049531A" w:rsidRPr="0049531A" w:rsidRDefault="007D2E71" w:rsidP="00CD5330">
            <w:pPr>
              <w:pStyle w:val="normal0"/>
              <w:rPr>
                <w:highlight w:val="yellow"/>
              </w:rPr>
            </w:pPr>
            <w:r w:rsidRPr="007D2E71">
              <w:lastRenderedPageBreak/>
              <w:t>Video Example and Discussion</w:t>
            </w:r>
          </w:p>
        </w:tc>
        <w:tc>
          <w:tcPr>
            <w:tcW w:w="6750" w:type="dxa"/>
          </w:tcPr>
          <w:p w14:paraId="7CFE1279" w14:textId="68CFAD4A" w:rsidR="0049531A" w:rsidRPr="007D2E71" w:rsidRDefault="0049531A" w:rsidP="007D2E71">
            <w:pPr>
              <w:pStyle w:val="normal0"/>
              <w:numPr>
                <w:ilvl w:val="0"/>
                <w:numId w:val="13"/>
              </w:numPr>
              <w:contextualSpacing/>
            </w:pPr>
            <w:r w:rsidRPr="007D2E71">
              <w:t xml:space="preserve">Watch the </w:t>
            </w:r>
            <w:r w:rsidR="007D2E71" w:rsidRPr="007D2E71">
              <w:t xml:space="preserve">“Average Drop Speed” </w:t>
            </w:r>
            <w:r w:rsidRPr="007D2E71">
              <w:t>video:</w:t>
            </w:r>
          </w:p>
          <w:p w14:paraId="6B41F3EF" w14:textId="6D946695" w:rsidR="00645155" w:rsidRPr="007D2E71" w:rsidRDefault="00645155" w:rsidP="007D2E71">
            <w:pPr>
              <w:pStyle w:val="normal0"/>
              <w:numPr>
                <w:ilvl w:val="1"/>
                <w:numId w:val="13"/>
              </w:numPr>
              <w:contextualSpacing/>
              <w:rPr>
                <w:color w:val="auto"/>
              </w:rPr>
            </w:pPr>
            <w:r w:rsidRPr="00645155">
              <w:rPr>
                <w:color w:val="auto"/>
              </w:rPr>
              <w:t>http://eie.org/engineering-elementary/resources/average-drop-speed</w:t>
            </w:r>
            <w:bookmarkStart w:id="0" w:name="_GoBack"/>
            <w:bookmarkEnd w:id="0"/>
          </w:p>
          <w:p w14:paraId="7C99CC69" w14:textId="4E53A7E6" w:rsidR="007D2E71" w:rsidRPr="007D2E71" w:rsidRDefault="007D2E71" w:rsidP="007D2E71">
            <w:pPr>
              <w:pStyle w:val="normal0"/>
              <w:numPr>
                <w:ilvl w:val="0"/>
                <w:numId w:val="13"/>
              </w:numPr>
              <w:contextualSpacing/>
            </w:pPr>
            <w:r w:rsidRPr="007D2E71">
              <w:t>After watching the video, discuss the following questions (first in a small group, and then as a whole group):</w:t>
            </w:r>
          </w:p>
          <w:p w14:paraId="7A5D0F0C" w14:textId="77777777" w:rsidR="007D2E71" w:rsidRPr="007D2E71" w:rsidRDefault="007D2E71" w:rsidP="007D2E71">
            <w:pPr>
              <w:pStyle w:val="normal0"/>
              <w:numPr>
                <w:ilvl w:val="1"/>
                <w:numId w:val="13"/>
              </w:numPr>
              <w:contextualSpacing/>
            </w:pPr>
            <w:r w:rsidRPr="007D2E71">
              <w:t>What did the teacher do to promote this science practice?</w:t>
            </w:r>
          </w:p>
          <w:p w14:paraId="39C70C1F" w14:textId="4249E5E8" w:rsidR="007D2E71" w:rsidRPr="007D2E71" w:rsidRDefault="007D2E71" w:rsidP="007D2E71">
            <w:pPr>
              <w:pStyle w:val="normal0"/>
              <w:numPr>
                <w:ilvl w:val="1"/>
                <w:numId w:val="13"/>
              </w:numPr>
              <w:contextualSpacing/>
            </w:pPr>
            <w:r w:rsidRPr="007D2E71">
              <w:t>What did the students do that highlights or builds on skills related to this science practice?</w:t>
            </w:r>
          </w:p>
        </w:tc>
        <w:tc>
          <w:tcPr>
            <w:tcW w:w="1066" w:type="dxa"/>
          </w:tcPr>
          <w:p w14:paraId="2428D63C" w14:textId="74E1DA4C" w:rsidR="0049531A" w:rsidRPr="0049531A" w:rsidRDefault="007D2E71" w:rsidP="00CD5330">
            <w:pPr>
              <w:pStyle w:val="normal0"/>
              <w:jc w:val="center"/>
              <w:rPr>
                <w:highlight w:val="yellow"/>
              </w:rPr>
            </w:pPr>
            <w:r w:rsidRPr="007D2E71">
              <w:t>10</w:t>
            </w:r>
            <w:r w:rsidR="0049531A" w:rsidRPr="007D2E71">
              <w:t xml:space="preserve"> min</w:t>
            </w:r>
          </w:p>
        </w:tc>
      </w:tr>
      <w:tr w:rsidR="00D0191F" w14:paraId="6CE0F56A" w14:textId="77777777" w:rsidTr="00E13FFA">
        <w:trPr>
          <w:trHeight w:val="377"/>
        </w:trPr>
        <w:tc>
          <w:tcPr>
            <w:tcW w:w="1760" w:type="dxa"/>
          </w:tcPr>
          <w:p w14:paraId="073F6273" w14:textId="0D33DF4C" w:rsidR="00D0191F" w:rsidRPr="007D2E71" w:rsidRDefault="00D0191F" w:rsidP="00CD5330">
            <w:pPr>
              <w:pStyle w:val="normal0"/>
            </w:pPr>
            <w:r>
              <w:t>Continuum for Student Performance</w:t>
            </w:r>
          </w:p>
        </w:tc>
        <w:tc>
          <w:tcPr>
            <w:tcW w:w="6750" w:type="dxa"/>
          </w:tcPr>
          <w:p w14:paraId="4339C884" w14:textId="042306F9" w:rsidR="00D0191F" w:rsidRDefault="00D0191F" w:rsidP="007D2E71">
            <w:pPr>
              <w:pStyle w:val="normal0"/>
              <w:numPr>
                <w:ilvl w:val="0"/>
                <w:numId w:val="13"/>
              </w:numPr>
              <w:contextualSpacing/>
            </w:pPr>
            <w:r>
              <w:t xml:space="preserve">Pass out </w:t>
            </w:r>
            <w:r w:rsidR="00D66136" w:rsidRPr="00A44A86">
              <w:rPr>
                <w:u w:val="single"/>
              </w:rPr>
              <w:t>page 2</w:t>
            </w:r>
            <w:r w:rsidR="00D66136">
              <w:t xml:space="preserve"> of </w:t>
            </w:r>
            <w:r>
              <w:t>the Science Practices Continuum handout</w:t>
            </w:r>
            <w:r w:rsidR="00D66136">
              <w:t xml:space="preserve"> </w:t>
            </w:r>
          </w:p>
          <w:p w14:paraId="0E0A1904" w14:textId="77777777" w:rsidR="00D0191F" w:rsidRDefault="00D0191F" w:rsidP="007D2E71">
            <w:pPr>
              <w:pStyle w:val="normal0"/>
              <w:numPr>
                <w:ilvl w:val="0"/>
                <w:numId w:val="13"/>
              </w:numPr>
              <w:contextualSpacing/>
            </w:pPr>
            <w:r>
              <w:t>Ask teachers to examine the handout, and discuss the following questions:</w:t>
            </w:r>
          </w:p>
          <w:p w14:paraId="7CFF9736" w14:textId="77777777" w:rsidR="00D0191F" w:rsidRDefault="00D0191F" w:rsidP="00D0191F">
            <w:pPr>
              <w:pStyle w:val="normal0"/>
              <w:numPr>
                <w:ilvl w:val="1"/>
                <w:numId w:val="13"/>
              </w:numPr>
              <w:contextualSpacing/>
            </w:pPr>
            <w:r>
              <w:t>Do you agree with the progression? Why or why not?</w:t>
            </w:r>
          </w:p>
          <w:p w14:paraId="60F4C6ED" w14:textId="77777777" w:rsidR="00D0191F" w:rsidRDefault="00D0191F" w:rsidP="00D0191F">
            <w:pPr>
              <w:pStyle w:val="normal0"/>
              <w:numPr>
                <w:ilvl w:val="1"/>
                <w:numId w:val="13"/>
              </w:numPr>
              <w:contextualSpacing/>
            </w:pPr>
            <w:r>
              <w:t>What are examples of what these different levels might look like in the classroom?</w:t>
            </w:r>
          </w:p>
          <w:p w14:paraId="25B09A0A" w14:textId="13E02DA2" w:rsidR="00D0191F" w:rsidRPr="007D2E71" w:rsidRDefault="00D0191F" w:rsidP="00D0191F">
            <w:pPr>
              <w:pStyle w:val="normal0"/>
              <w:numPr>
                <w:ilvl w:val="1"/>
                <w:numId w:val="13"/>
              </w:numPr>
              <w:contextualSpacing/>
            </w:pPr>
            <w:r>
              <w:t>How would you rate your students’ current engagement in this science practice using this progression?</w:t>
            </w:r>
          </w:p>
        </w:tc>
        <w:tc>
          <w:tcPr>
            <w:tcW w:w="1066" w:type="dxa"/>
          </w:tcPr>
          <w:p w14:paraId="03123752" w14:textId="77451EAA" w:rsidR="00D0191F" w:rsidRPr="007D2E71" w:rsidRDefault="00D0191F" w:rsidP="00CD5330">
            <w:pPr>
              <w:pStyle w:val="normal0"/>
              <w:jc w:val="center"/>
            </w:pPr>
            <w:r>
              <w:t>5 min</w:t>
            </w:r>
          </w:p>
        </w:tc>
      </w:tr>
      <w:tr w:rsidR="00F45039" w14:paraId="35C2F23A" w14:textId="77777777" w:rsidTr="00CD5330">
        <w:trPr>
          <w:trHeight w:val="840"/>
        </w:trPr>
        <w:tc>
          <w:tcPr>
            <w:tcW w:w="1760" w:type="dxa"/>
          </w:tcPr>
          <w:p w14:paraId="1ECA2FB9" w14:textId="425C74D2" w:rsidR="00F45039" w:rsidRPr="00A61322" w:rsidRDefault="00231B0F" w:rsidP="00CD5330">
            <w:pPr>
              <w:pStyle w:val="normal0"/>
            </w:pPr>
            <w:r>
              <w:lastRenderedPageBreak/>
              <w:t xml:space="preserve">Reflecting on Instructional Strategies </w:t>
            </w:r>
          </w:p>
        </w:tc>
        <w:tc>
          <w:tcPr>
            <w:tcW w:w="6750" w:type="dxa"/>
          </w:tcPr>
          <w:p w14:paraId="4C1D747E" w14:textId="77777777" w:rsidR="00F45039" w:rsidRDefault="001265A8" w:rsidP="0049531A">
            <w:pPr>
              <w:pStyle w:val="normal0"/>
              <w:numPr>
                <w:ilvl w:val="0"/>
                <w:numId w:val="14"/>
              </w:numPr>
              <w:contextualSpacing/>
            </w:pPr>
            <w:r>
              <w:t>Pass out the Instructional Strategies handout and give teachers time to read through them</w:t>
            </w:r>
          </w:p>
          <w:p w14:paraId="7D139982" w14:textId="77777777" w:rsidR="005557F9" w:rsidRDefault="005557F9" w:rsidP="005557F9">
            <w:pPr>
              <w:pStyle w:val="normal0"/>
              <w:numPr>
                <w:ilvl w:val="0"/>
                <w:numId w:val="14"/>
              </w:numPr>
              <w:contextualSpacing/>
            </w:pPr>
            <w:r>
              <w:t>Ask</w:t>
            </w:r>
            <w:r w:rsidR="001265A8">
              <w:t xml:space="preserve"> each teacher choose one strategy that they have tried, or would like t</w:t>
            </w:r>
            <w:r>
              <w:t>o try, in their own classroom. In small groups, discuss the following questions:</w:t>
            </w:r>
          </w:p>
          <w:p w14:paraId="55363762" w14:textId="77777777" w:rsidR="005557F9" w:rsidRDefault="005557F9" w:rsidP="005557F9">
            <w:pPr>
              <w:pStyle w:val="normal0"/>
              <w:numPr>
                <w:ilvl w:val="1"/>
                <w:numId w:val="14"/>
              </w:numPr>
              <w:contextualSpacing/>
            </w:pPr>
            <w:r>
              <w:t xml:space="preserve">What strategy did you select? </w:t>
            </w:r>
          </w:p>
          <w:p w14:paraId="4A1AF35E" w14:textId="26E330B4" w:rsidR="005557F9" w:rsidRDefault="004C6EFF" w:rsidP="005557F9">
            <w:pPr>
              <w:pStyle w:val="normal0"/>
              <w:numPr>
                <w:ilvl w:val="1"/>
                <w:numId w:val="14"/>
              </w:numPr>
              <w:contextualSpacing/>
            </w:pPr>
            <w:r>
              <w:t>How do you think this strategy</w:t>
            </w:r>
            <w:r w:rsidR="005557F9">
              <w:t xml:space="preserve"> would support your students’ learning of and engage</w:t>
            </w:r>
            <w:r w:rsidR="00B27A32">
              <w:t>ment</w:t>
            </w:r>
            <w:r w:rsidR="005557F9">
              <w:t xml:space="preserve"> in this science practice? </w:t>
            </w:r>
          </w:p>
          <w:p w14:paraId="037B108A" w14:textId="57A6DB1E" w:rsidR="005557F9" w:rsidRDefault="005557F9" w:rsidP="004C6EFF">
            <w:pPr>
              <w:pStyle w:val="normal0"/>
              <w:numPr>
                <w:ilvl w:val="1"/>
                <w:numId w:val="14"/>
              </w:numPr>
              <w:contextualSpacing/>
            </w:pPr>
            <w:r>
              <w:t>What challenges do you think you might face when using this strategy in your classroom? How might you overcome these challenges?</w:t>
            </w:r>
          </w:p>
          <w:p w14:paraId="2336288B" w14:textId="77777777" w:rsidR="005557F9" w:rsidRDefault="005557F9" w:rsidP="005557F9">
            <w:pPr>
              <w:pStyle w:val="normal0"/>
              <w:numPr>
                <w:ilvl w:val="0"/>
                <w:numId w:val="14"/>
              </w:numPr>
              <w:contextualSpacing/>
            </w:pPr>
            <w:r>
              <w:t>As a large group, have each small group share out one highlight from their conversation.</w:t>
            </w:r>
          </w:p>
          <w:p w14:paraId="4D9599C2" w14:textId="0F137DF2" w:rsidR="005557F9" w:rsidRPr="00F6626F" w:rsidRDefault="005557F9" w:rsidP="005557F9">
            <w:pPr>
              <w:pStyle w:val="normal0"/>
              <w:numPr>
                <w:ilvl w:val="0"/>
                <w:numId w:val="14"/>
              </w:numPr>
              <w:contextualSpacing/>
            </w:pPr>
            <w:r>
              <w:t>Make connections between what teachers are sharing, and encourage them to use some of these strategies the next time they have students analyze and interpret data</w:t>
            </w:r>
          </w:p>
        </w:tc>
        <w:tc>
          <w:tcPr>
            <w:tcW w:w="1066" w:type="dxa"/>
          </w:tcPr>
          <w:p w14:paraId="7F38813D" w14:textId="7FDD7724" w:rsidR="00F45039" w:rsidRPr="00F6626F" w:rsidRDefault="00F6626F" w:rsidP="00CD5330">
            <w:pPr>
              <w:pStyle w:val="normal0"/>
              <w:jc w:val="center"/>
            </w:pPr>
            <w:r w:rsidRPr="00F6626F">
              <w:t>10 min</w:t>
            </w:r>
          </w:p>
        </w:tc>
      </w:tr>
      <w:tr w:rsidR="00F45039" w14:paraId="105F9AFB" w14:textId="77777777" w:rsidTr="00D83BE0">
        <w:trPr>
          <w:trHeight w:val="647"/>
        </w:trPr>
        <w:tc>
          <w:tcPr>
            <w:tcW w:w="1760" w:type="dxa"/>
          </w:tcPr>
          <w:p w14:paraId="22FF8C90" w14:textId="6FBE2EFD" w:rsidR="00F45039" w:rsidRPr="00A61322" w:rsidRDefault="00F45039" w:rsidP="00CD5330">
            <w:pPr>
              <w:pStyle w:val="normal0"/>
            </w:pPr>
            <w:r>
              <w:t>Extension – Connection to other Science Practices</w:t>
            </w:r>
          </w:p>
        </w:tc>
        <w:tc>
          <w:tcPr>
            <w:tcW w:w="6750" w:type="dxa"/>
          </w:tcPr>
          <w:p w14:paraId="6B82BC47" w14:textId="3BAB7B53" w:rsidR="00F45039" w:rsidRDefault="00F45039" w:rsidP="00F45039">
            <w:pPr>
              <w:pStyle w:val="normal0"/>
              <w:numPr>
                <w:ilvl w:val="0"/>
                <w:numId w:val="14"/>
              </w:numPr>
              <w:contextualSpacing/>
            </w:pPr>
            <w:r>
              <w:t xml:space="preserve">Share the list of all of the science practices and ask teachers to brainstorm and then share out ways that “analyzing and interpreting data” connects with the other science practices.  </w:t>
            </w:r>
          </w:p>
          <w:p w14:paraId="6D2BD986" w14:textId="77777777" w:rsidR="00F45039" w:rsidRDefault="00F45039" w:rsidP="0049531A">
            <w:pPr>
              <w:pStyle w:val="normal0"/>
              <w:numPr>
                <w:ilvl w:val="0"/>
                <w:numId w:val="14"/>
              </w:numPr>
              <w:contextualSpacing/>
            </w:pPr>
            <w:r>
              <w:t>Some example connections include:</w:t>
            </w:r>
          </w:p>
          <w:p w14:paraId="68DB380A" w14:textId="77777777" w:rsidR="00F45039" w:rsidRDefault="00F45039" w:rsidP="00F45039">
            <w:pPr>
              <w:pStyle w:val="normal0"/>
              <w:numPr>
                <w:ilvl w:val="1"/>
                <w:numId w:val="14"/>
              </w:numPr>
              <w:contextualSpacing/>
            </w:pPr>
            <w:r>
              <w:t xml:space="preserve">Mathematical and computational thinking is often used to analyze data.   </w:t>
            </w:r>
          </w:p>
          <w:p w14:paraId="0F777D83" w14:textId="77777777" w:rsidR="00F45039" w:rsidRDefault="00F45039" w:rsidP="00F45039">
            <w:pPr>
              <w:pStyle w:val="normal0"/>
              <w:numPr>
                <w:ilvl w:val="1"/>
                <w:numId w:val="14"/>
              </w:numPr>
              <w:contextualSpacing/>
            </w:pPr>
            <w:r>
              <w:t xml:space="preserve">Data that has been analyzed and interpreted can be used to construct explanations or support a scientific argument.  </w:t>
            </w:r>
          </w:p>
          <w:p w14:paraId="40C04714" w14:textId="7C8CEF4B" w:rsidR="00F45039" w:rsidRPr="00355BB5" w:rsidRDefault="00F45039" w:rsidP="00F45039">
            <w:pPr>
              <w:pStyle w:val="normal0"/>
              <w:numPr>
                <w:ilvl w:val="1"/>
                <w:numId w:val="14"/>
              </w:numPr>
              <w:contextualSpacing/>
            </w:pPr>
            <w:r>
              <w:t xml:space="preserve">An investigation needs to be carried out in order to obtain data for analysis. </w:t>
            </w:r>
          </w:p>
        </w:tc>
        <w:tc>
          <w:tcPr>
            <w:tcW w:w="1066" w:type="dxa"/>
          </w:tcPr>
          <w:p w14:paraId="2B73B125" w14:textId="77777777" w:rsidR="00F45039" w:rsidRPr="0049531A" w:rsidRDefault="00F45039" w:rsidP="00CD5330">
            <w:pPr>
              <w:pStyle w:val="normal0"/>
              <w:jc w:val="center"/>
              <w:rPr>
                <w:highlight w:val="yellow"/>
              </w:rPr>
            </w:pPr>
          </w:p>
        </w:tc>
      </w:tr>
      <w:tr w:rsidR="0049531A" w14:paraId="1590225C" w14:textId="77777777" w:rsidTr="00CD5330">
        <w:trPr>
          <w:trHeight w:val="840"/>
        </w:trPr>
        <w:tc>
          <w:tcPr>
            <w:tcW w:w="1760" w:type="dxa"/>
          </w:tcPr>
          <w:p w14:paraId="0D227C7A" w14:textId="4644DC52" w:rsidR="0049531A" w:rsidRPr="0049531A" w:rsidRDefault="0049531A" w:rsidP="00CD5330">
            <w:pPr>
              <w:pStyle w:val="normal0"/>
              <w:rPr>
                <w:highlight w:val="yellow"/>
              </w:rPr>
            </w:pPr>
            <w:bookmarkStart w:id="1" w:name="h.gjdgxs" w:colFirst="0" w:colLast="0"/>
            <w:bookmarkEnd w:id="1"/>
            <w:r w:rsidRPr="00A61322">
              <w:t>Additional Resources</w:t>
            </w:r>
          </w:p>
        </w:tc>
        <w:tc>
          <w:tcPr>
            <w:tcW w:w="6750" w:type="dxa"/>
          </w:tcPr>
          <w:p w14:paraId="7F0E09E4" w14:textId="1E1BBEE3" w:rsidR="0049531A" w:rsidRPr="00355BB5" w:rsidRDefault="0049531A" w:rsidP="0049531A">
            <w:pPr>
              <w:pStyle w:val="normal0"/>
              <w:numPr>
                <w:ilvl w:val="0"/>
                <w:numId w:val="14"/>
              </w:numPr>
              <w:contextualSpacing/>
            </w:pPr>
            <w:r w:rsidRPr="00355BB5">
              <w:t>Share some ways that teachers can learn more information about “</w:t>
            </w:r>
            <w:r w:rsidR="00816CB6" w:rsidRPr="00355BB5">
              <w:t>analyzing and interpreting data</w:t>
            </w:r>
            <w:r w:rsidRPr="00355BB5">
              <w:t>”</w:t>
            </w:r>
          </w:p>
          <w:p w14:paraId="2976BF71" w14:textId="5059154E" w:rsidR="00816CB6" w:rsidRPr="00355BB5" w:rsidRDefault="00A61322" w:rsidP="0049531A">
            <w:pPr>
              <w:pStyle w:val="normal0"/>
              <w:numPr>
                <w:ilvl w:val="1"/>
                <w:numId w:val="14"/>
              </w:numPr>
              <w:contextualSpacing/>
            </w:pPr>
            <w:r w:rsidRPr="00355BB5">
              <w:t>Watch the first two minutes of the Bozeman</w:t>
            </w:r>
            <w:r w:rsidR="00F976BF">
              <w:t xml:space="preserve"> Science</w:t>
            </w:r>
            <w:r w:rsidRPr="00355BB5">
              <w:t xml:space="preserve"> Video on Analyzing and Interpreting Data –</w:t>
            </w:r>
            <w:hyperlink r:id="rId10">
              <w:r w:rsidRPr="00355BB5">
                <w:rPr>
                  <w:color w:val="1155CC"/>
                  <w:u w:val="single"/>
                </w:rPr>
                <w:t>https://www.youtube.com/watch?v=9NkT-oYPkOA</w:t>
              </w:r>
            </w:hyperlink>
          </w:p>
          <w:p w14:paraId="1A436709" w14:textId="77777777" w:rsidR="00D0191F" w:rsidRPr="00355BB5" w:rsidRDefault="00D0191F" w:rsidP="0049531A">
            <w:pPr>
              <w:pStyle w:val="normal0"/>
              <w:numPr>
                <w:ilvl w:val="1"/>
                <w:numId w:val="14"/>
              </w:numPr>
              <w:contextualSpacing/>
            </w:pPr>
            <w:r w:rsidRPr="00355BB5">
              <w:t>Appendix F: Science and Engineering Practices from the NGSS</w:t>
            </w:r>
          </w:p>
          <w:p w14:paraId="5081DD22" w14:textId="56957891" w:rsidR="0049531A" w:rsidRPr="00355BB5" w:rsidRDefault="00355BB5" w:rsidP="00D0191F">
            <w:pPr>
              <w:pStyle w:val="normal0"/>
              <w:numPr>
                <w:ilvl w:val="2"/>
                <w:numId w:val="14"/>
              </w:numPr>
              <w:contextualSpacing/>
            </w:pPr>
            <w:r w:rsidRPr="00355BB5">
              <w:t>Specifically, page 9 and pages 23-24</w:t>
            </w:r>
          </w:p>
        </w:tc>
        <w:tc>
          <w:tcPr>
            <w:tcW w:w="1066" w:type="dxa"/>
          </w:tcPr>
          <w:p w14:paraId="210D4801" w14:textId="77777777" w:rsidR="0049531A" w:rsidRPr="0049531A" w:rsidRDefault="0049531A" w:rsidP="00CD5330">
            <w:pPr>
              <w:pStyle w:val="normal0"/>
              <w:jc w:val="center"/>
              <w:rPr>
                <w:highlight w:val="yellow"/>
              </w:rPr>
            </w:pPr>
          </w:p>
        </w:tc>
      </w:tr>
    </w:tbl>
    <w:p w14:paraId="5582EEA6" w14:textId="26D48D2D" w:rsidR="0049531A" w:rsidRDefault="0049531A">
      <w:pPr>
        <w:pStyle w:val="normal0"/>
        <w:ind w:left="360" w:hanging="360"/>
      </w:pPr>
    </w:p>
    <w:p w14:paraId="1B0A3E3C" w14:textId="77777777" w:rsidR="00134155" w:rsidRDefault="00134155">
      <w:pPr>
        <w:pStyle w:val="normal0"/>
      </w:pPr>
    </w:p>
    <w:p w14:paraId="463AA6DD" w14:textId="77777777" w:rsidR="00134155" w:rsidRDefault="00134155">
      <w:pPr>
        <w:pStyle w:val="normal0"/>
      </w:pPr>
    </w:p>
    <w:p w14:paraId="53204C6B" w14:textId="77777777" w:rsidR="00134155" w:rsidRDefault="00134155">
      <w:pPr>
        <w:pStyle w:val="normal0"/>
        <w:spacing w:line="276" w:lineRule="auto"/>
      </w:pPr>
    </w:p>
    <w:p w14:paraId="19208070" w14:textId="77777777" w:rsidR="00134155" w:rsidRDefault="00134155">
      <w:pPr>
        <w:pStyle w:val="normal0"/>
        <w:spacing w:line="276" w:lineRule="auto"/>
      </w:pPr>
    </w:p>
    <w:sectPr w:rsidR="00134155" w:rsidSect="00C52783">
      <w:headerReference w:type="default" r:id="rId11"/>
      <w:footerReference w:type="even" r:id="rId12"/>
      <w:footerReference w:type="default" r:id="rId13"/>
      <w:pgSz w:w="12240" w:h="15840"/>
      <w:pgMar w:top="1440" w:right="1440" w:bottom="1440" w:left="1530" w:header="720" w:footer="720" w:gutter="0"/>
      <w:pgNumType w:start="1"/>
      <w:cols w:space="720" w:equalWidth="0">
        <w:col w:w="855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A195A" w14:textId="77777777" w:rsidR="008022E8" w:rsidRDefault="008022E8">
      <w:r>
        <w:separator/>
      </w:r>
    </w:p>
  </w:endnote>
  <w:endnote w:type="continuationSeparator" w:id="0">
    <w:p w14:paraId="048E3117" w14:textId="77777777" w:rsidR="008022E8" w:rsidRDefault="0080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30DBB" w14:textId="77777777" w:rsidR="008022E8" w:rsidRDefault="008022E8" w:rsidP="00A44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86AC61" w14:textId="55AA8B64" w:rsidR="008022E8" w:rsidRDefault="00C52783" w:rsidP="00D32F88">
    <w:pPr>
      <w:pStyle w:val="Footer"/>
      <w:ind w:right="360"/>
    </w:pPr>
    <w:sdt>
      <w:sdtPr>
        <w:id w:val="969400743"/>
        <w:placeholder>
          <w:docPart w:val="DDA9C1DFB2DC574D87FC946931163BEA"/>
        </w:placeholder>
        <w:temporary/>
        <w:showingPlcHdr/>
      </w:sdtPr>
      <w:sdtEndPr/>
      <w:sdtContent>
        <w:r w:rsidR="008022E8">
          <w:t>[Type text]</w:t>
        </w:r>
      </w:sdtContent>
    </w:sdt>
    <w:r w:rsidR="008022E8">
      <w:ptab w:relativeTo="margin" w:alignment="center" w:leader="none"/>
    </w:r>
    <w:sdt>
      <w:sdtPr>
        <w:id w:val="969400748"/>
        <w:placeholder>
          <w:docPart w:val="DD8EE9344859FD46A42E5796DA6D75B3"/>
        </w:placeholder>
        <w:temporary/>
        <w:showingPlcHdr/>
      </w:sdtPr>
      <w:sdtEndPr/>
      <w:sdtContent>
        <w:r w:rsidR="008022E8">
          <w:t>[Type text]</w:t>
        </w:r>
      </w:sdtContent>
    </w:sdt>
    <w:r w:rsidR="008022E8">
      <w:ptab w:relativeTo="margin" w:alignment="right" w:leader="none"/>
    </w:r>
    <w:sdt>
      <w:sdtPr>
        <w:id w:val="969400753"/>
        <w:placeholder>
          <w:docPart w:val="ED5BE23A4C90D142A0456F32B7540A84"/>
        </w:placeholder>
        <w:temporary/>
        <w:showingPlcHdr/>
      </w:sdtPr>
      <w:sdtEndPr/>
      <w:sdtContent>
        <w:r w:rsidR="008022E8">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29939" w14:textId="77777777" w:rsidR="008022E8" w:rsidRDefault="008022E8" w:rsidP="00A44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2783">
      <w:rPr>
        <w:rStyle w:val="PageNumber"/>
        <w:noProof/>
      </w:rPr>
      <w:t>2</w:t>
    </w:r>
    <w:r>
      <w:rPr>
        <w:rStyle w:val="PageNumber"/>
      </w:rPr>
      <w:fldChar w:fldCharType="end"/>
    </w:r>
  </w:p>
  <w:p w14:paraId="4B0EF4D8" w14:textId="3BC4C7D9" w:rsidR="008022E8" w:rsidRDefault="008022E8" w:rsidP="00D32F88">
    <w:pPr>
      <w:pStyle w:val="normal0"/>
      <w:tabs>
        <w:tab w:val="center" w:pos="4320"/>
        <w:tab w:val="right" w:pos="8640"/>
      </w:tabs>
      <w:spacing w:after="720"/>
      <w:ind w:right="360"/>
      <w:jc w:val="right"/>
    </w:pPr>
    <w:r>
      <w:ptab w:relativeTo="margin" w:alignment="center" w:leader="none"/>
    </w:r>
    <w:r w:rsidRPr="00E94F15">
      <w:rPr>
        <w:sz w:val="20"/>
        <w:szCs w:val="20"/>
      </w:rPr>
      <w:t>© 2016 Boston Public Schools Science Department</w:t>
    </w:r>
    <w:r w:rsidRPr="00E94F15">
      <w:rPr>
        <w:sz w:val="20"/>
        <w:szCs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B19D1" w14:textId="77777777" w:rsidR="008022E8" w:rsidRDefault="008022E8">
      <w:r>
        <w:separator/>
      </w:r>
    </w:p>
  </w:footnote>
  <w:footnote w:type="continuationSeparator" w:id="0">
    <w:p w14:paraId="5462EE7E" w14:textId="77777777" w:rsidR="008022E8" w:rsidRDefault="008022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BCEE" w14:textId="48C66F94" w:rsidR="008022E8" w:rsidRPr="005557F9" w:rsidRDefault="008022E8" w:rsidP="0049531A">
    <w:pPr>
      <w:pStyle w:val="Header"/>
      <w:rPr>
        <w:sz w:val="20"/>
        <w:szCs w:val="20"/>
      </w:rPr>
    </w:pPr>
    <w:r>
      <w:rPr>
        <w:sz w:val="20"/>
        <w:szCs w:val="20"/>
      </w:rPr>
      <w:t>Analyzing and Interpreting Data Module (bpssciencepractices.weebly.com)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974"/>
    <w:multiLevelType w:val="multilevel"/>
    <w:tmpl w:val="88989B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1277091C"/>
    <w:multiLevelType w:val="hybridMultilevel"/>
    <w:tmpl w:val="49327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441E1"/>
    <w:multiLevelType w:val="multilevel"/>
    <w:tmpl w:val="422AA7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9A57A5A"/>
    <w:multiLevelType w:val="hybridMultilevel"/>
    <w:tmpl w:val="326CB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ED346E"/>
    <w:multiLevelType w:val="multilevel"/>
    <w:tmpl w:val="46EE99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0383110"/>
    <w:multiLevelType w:val="multilevel"/>
    <w:tmpl w:val="0108F8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0E81893"/>
    <w:multiLevelType w:val="hybridMultilevel"/>
    <w:tmpl w:val="88989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402662"/>
    <w:multiLevelType w:val="multilevel"/>
    <w:tmpl w:val="62B093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E467332"/>
    <w:multiLevelType w:val="multilevel"/>
    <w:tmpl w:val="47F4BC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42F1D66"/>
    <w:multiLevelType w:val="multilevel"/>
    <w:tmpl w:val="3DD21F8A"/>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0">
    <w:nsid w:val="3D093ACB"/>
    <w:multiLevelType w:val="multilevel"/>
    <w:tmpl w:val="9CAA912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42520DB2"/>
    <w:multiLevelType w:val="hybridMultilevel"/>
    <w:tmpl w:val="3DD21F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35D13D8"/>
    <w:multiLevelType w:val="multilevel"/>
    <w:tmpl w:val="183C22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68D432E"/>
    <w:multiLevelType w:val="multilevel"/>
    <w:tmpl w:val="E7F2AF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FB633F6"/>
    <w:multiLevelType w:val="multilevel"/>
    <w:tmpl w:val="534264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6F77B36"/>
    <w:multiLevelType w:val="hybridMultilevel"/>
    <w:tmpl w:val="2766D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FC38B2"/>
    <w:multiLevelType w:val="multilevel"/>
    <w:tmpl w:val="EDFA19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CF20160"/>
    <w:multiLevelType w:val="multilevel"/>
    <w:tmpl w:val="FDD22F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FEF2D10"/>
    <w:multiLevelType w:val="hybridMultilevel"/>
    <w:tmpl w:val="1B18D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AC56CE"/>
    <w:multiLevelType w:val="multilevel"/>
    <w:tmpl w:val="E7BC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920048"/>
    <w:multiLevelType w:val="hybridMultilevel"/>
    <w:tmpl w:val="EDFA1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C87372"/>
    <w:multiLevelType w:val="hybridMultilevel"/>
    <w:tmpl w:val="6C5A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A04B82"/>
    <w:multiLevelType w:val="hybridMultilevel"/>
    <w:tmpl w:val="19A8C526"/>
    <w:lvl w:ilvl="0" w:tplc="C23AD272">
      <w:start w:val="1"/>
      <w:numFmt w:val="bullet"/>
      <w:lvlText w:val=""/>
      <w:lvlJc w:val="left"/>
      <w:pPr>
        <w:ind w:left="2160" w:hanging="360"/>
      </w:pPr>
      <w:rPr>
        <w:rFonts w:ascii="Wingdings" w:hAnsi="Wingdings" w:hint="default"/>
        <w:color w:val="auto"/>
        <w:sz w:val="24"/>
        <w:szCs w:val="24"/>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14"/>
  </w:num>
  <w:num w:numId="3">
    <w:abstractNumId w:val="2"/>
  </w:num>
  <w:num w:numId="4">
    <w:abstractNumId w:val="4"/>
  </w:num>
  <w:num w:numId="5">
    <w:abstractNumId w:val="10"/>
  </w:num>
  <w:num w:numId="6">
    <w:abstractNumId w:val="13"/>
  </w:num>
  <w:num w:numId="7">
    <w:abstractNumId w:val="7"/>
  </w:num>
  <w:num w:numId="8">
    <w:abstractNumId w:val="8"/>
  </w:num>
  <w:num w:numId="9">
    <w:abstractNumId w:val="5"/>
  </w:num>
  <w:num w:numId="10">
    <w:abstractNumId w:val="12"/>
  </w:num>
  <w:num w:numId="11">
    <w:abstractNumId w:val="3"/>
  </w:num>
  <w:num w:numId="12">
    <w:abstractNumId w:val="15"/>
  </w:num>
  <w:num w:numId="13">
    <w:abstractNumId w:val="6"/>
  </w:num>
  <w:num w:numId="14">
    <w:abstractNumId w:val="18"/>
  </w:num>
  <w:num w:numId="15">
    <w:abstractNumId w:val="21"/>
  </w:num>
  <w:num w:numId="16">
    <w:abstractNumId w:val="1"/>
  </w:num>
  <w:num w:numId="17">
    <w:abstractNumId w:val="20"/>
  </w:num>
  <w:num w:numId="18">
    <w:abstractNumId w:val="0"/>
  </w:num>
  <w:num w:numId="19">
    <w:abstractNumId w:val="19"/>
  </w:num>
  <w:num w:numId="20">
    <w:abstractNumId w:val="16"/>
  </w:num>
  <w:num w:numId="21">
    <w:abstractNumId w:val="11"/>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4155"/>
    <w:rsid w:val="000A5128"/>
    <w:rsid w:val="00124A22"/>
    <w:rsid w:val="001265A8"/>
    <w:rsid w:val="00134155"/>
    <w:rsid w:val="001763B3"/>
    <w:rsid w:val="001842E2"/>
    <w:rsid w:val="00231B0F"/>
    <w:rsid w:val="002B26C7"/>
    <w:rsid w:val="00325F87"/>
    <w:rsid w:val="00355BB5"/>
    <w:rsid w:val="003F0980"/>
    <w:rsid w:val="003F7FE3"/>
    <w:rsid w:val="004465F6"/>
    <w:rsid w:val="00474E7D"/>
    <w:rsid w:val="00483CD3"/>
    <w:rsid w:val="0049531A"/>
    <w:rsid w:val="004C6EFF"/>
    <w:rsid w:val="0052049D"/>
    <w:rsid w:val="005557F9"/>
    <w:rsid w:val="00645155"/>
    <w:rsid w:val="006B7F53"/>
    <w:rsid w:val="00704B34"/>
    <w:rsid w:val="0075198F"/>
    <w:rsid w:val="007B30E3"/>
    <w:rsid w:val="007B3D02"/>
    <w:rsid w:val="007D2E71"/>
    <w:rsid w:val="008022E8"/>
    <w:rsid w:val="00816C12"/>
    <w:rsid w:val="00816CB6"/>
    <w:rsid w:val="00892032"/>
    <w:rsid w:val="00A44A86"/>
    <w:rsid w:val="00A61322"/>
    <w:rsid w:val="00AB2BF6"/>
    <w:rsid w:val="00B27A32"/>
    <w:rsid w:val="00B362CC"/>
    <w:rsid w:val="00B72E79"/>
    <w:rsid w:val="00C249A5"/>
    <w:rsid w:val="00C512CA"/>
    <w:rsid w:val="00C52783"/>
    <w:rsid w:val="00CD5330"/>
    <w:rsid w:val="00D0191F"/>
    <w:rsid w:val="00D32F88"/>
    <w:rsid w:val="00D66136"/>
    <w:rsid w:val="00D704DA"/>
    <w:rsid w:val="00D83BE0"/>
    <w:rsid w:val="00E07279"/>
    <w:rsid w:val="00E13FFA"/>
    <w:rsid w:val="00E4477D"/>
    <w:rsid w:val="00E94F15"/>
    <w:rsid w:val="00F45039"/>
    <w:rsid w:val="00F6626F"/>
    <w:rsid w:val="00F976BF"/>
    <w:rsid w:val="00FE3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59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9531A"/>
    <w:pPr>
      <w:tabs>
        <w:tab w:val="center" w:pos="4320"/>
        <w:tab w:val="right" w:pos="8640"/>
      </w:tabs>
    </w:pPr>
  </w:style>
  <w:style w:type="character" w:customStyle="1" w:styleId="HeaderChar">
    <w:name w:val="Header Char"/>
    <w:basedOn w:val="DefaultParagraphFont"/>
    <w:link w:val="Header"/>
    <w:uiPriority w:val="99"/>
    <w:rsid w:val="0049531A"/>
  </w:style>
  <w:style w:type="paragraph" w:styleId="Footer">
    <w:name w:val="footer"/>
    <w:basedOn w:val="Normal"/>
    <w:link w:val="FooterChar"/>
    <w:uiPriority w:val="99"/>
    <w:unhideWhenUsed/>
    <w:rsid w:val="0049531A"/>
    <w:pPr>
      <w:tabs>
        <w:tab w:val="center" w:pos="4320"/>
        <w:tab w:val="right" w:pos="8640"/>
      </w:tabs>
    </w:pPr>
  </w:style>
  <w:style w:type="character" w:customStyle="1" w:styleId="FooterChar">
    <w:name w:val="Footer Char"/>
    <w:basedOn w:val="DefaultParagraphFont"/>
    <w:link w:val="Footer"/>
    <w:uiPriority w:val="99"/>
    <w:rsid w:val="0049531A"/>
  </w:style>
  <w:style w:type="paragraph" w:styleId="BalloonText">
    <w:name w:val="Balloon Text"/>
    <w:basedOn w:val="Normal"/>
    <w:link w:val="BalloonTextChar"/>
    <w:uiPriority w:val="99"/>
    <w:semiHidden/>
    <w:unhideWhenUsed/>
    <w:rsid w:val="004953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31A"/>
    <w:rPr>
      <w:rFonts w:ascii="Lucida Grande" w:hAnsi="Lucida Grande" w:cs="Lucida Grande"/>
      <w:sz w:val="18"/>
      <w:szCs w:val="18"/>
    </w:rPr>
  </w:style>
  <w:style w:type="character" w:styleId="Hyperlink">
    <w:name w:val="Hyperlink"/>
    <w:basedOn w:val="DefaultParagraphFont"/>
    <w:uiPriority w:val="99"/>
    <w:unhideWhenUsed/>
    <w:rsid w:val="0049531A"/>
    <w:rPr>
      <w:color w:val="0000FF" w:themeColor="hyperlink"/>
      <w:u w:val="single"/>
    </w:rPr>
  </w:style>
  <w:style w:type="character" w:styleId="PageNumber">
    <w:name w:val="page number"/>
    <w:basedOn w:val="DefaultParagraphFont"/>
    <w:uiPriority w:val="99"/>
    <w:semiHidden/>
    <w:unhideWhenUsed/>
    <w:rsid w:val="00D32F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9531A"/>
    <w:pPr>
      <w:tabs>
        <w:tab w:val="center" w:pos="4320"/>
        <w:tab w:val="right" w:pos="8640"/>
      </w:tabs>
    </w:pPr>
  </w:style>
  <w:style w:type="character" w:customStyle="1" w:styleId="HeaderChar">
    <w:name w:val="Header Char"/>
    <w:basedOn w:val="DefaultParagraphFont"/>
    <w:link w:val="Header"/>
    <w:uiPriority w:val="99"/>
    <w:rsid w:val="0049531A"/>
  </w:style>
  <w:style w:type="paragraph" w:styleId="Footer">
    <w:name w:val="footer"/>
    <w:basedOn w:val="Normal"/>
    <w:link w:val="FooterChar"/>
    <w:uiPriority w:val="99"/>
    <w:unhideWhenUsed/>
    <w:rsid w:val="0049531A"/>
    <w:pPr>
      <w:tabs>
        <w:tab w:val="center" w:pos="4320"/>
        <w:tab w:val="right" w:pos="8640"/>
      </w:tabs>
    </w:pPr>
  </w:style>
  <w:style w:type="character" w:customStyle="1" w:styleId="FooterChar">
    <w:name w:val="Footer Char"/>
    <w:basedOn w:val="DefaultParagraphFont"/>
    <w:link w:val="Footer"/>
    <w:uiPriority w:val="99"/>
    <w:rsid w:val="0049531A"/>
  </w:style>
  <w:style w:type="paragraph" w:styleId="BalloonText">
    <w:name w:val="Balloon Text"/>
    <w:basedOn w:val="Normal"/>
    <w:link w:val="BalloonTextChar"/>
    <w:uiPriority w:val="99"/>
    <w:semiHidden/>
    <w:unhideWhenUsed/>
    <w:rsid w:val="004953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31A"/>
    <w:rPr>
      <w:rFonts w:ascii="Lucida Grande" w:hAnsi="Lucida Grande" w:cs="Lucida Grande"/>
      <w:sz w:val="18"/>
      <w:szCs w:val="18"/>
    </w:rPr>
  </w:style>
  <w:style w:type="character" w:styleId="Hyperlink">
    <w:name w:val="Hyperlink"/>
    <w:basedOn w:val="DefaultParagraphFont"/>
    <w:uiPriority w:val="99"/>
    <w:unhideWhenUsed/>
    <w:rsid w:val="0049531A"/>
    <w:rPr>
      <w:color w:val="0000FF" w:themeColor="hyperlink"/>
      <w:u w:val="single"/>
    </w:rPr>
  </w:style>
  <w:style w:type="character" w:styleId="PageNumber">
    <w:name w:val="page number"/>
    <w:basedOn w:val="DefaultParagraphFont"/>
    <w:uiPriority w:val="99"/>
    <w:semiHidden/>
    <w:unhideWhenUsed/>
    <w:rsid w:val="00D3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5060">
      <w:bodyDiv w:val="1"/>
      <w:marLeft w:val="0"/>
      <w:marRight w:val="0"/>
      <w:marTop w:val="0"/>
      <w:marBottom w:val="0"/>
      <w:divBdr>
        <w:top w:val="none" w:sz="0" w:space="0" w:color="auto"/>
        <w:left w:val="none" w:sz="0" w:space="0" w:color="auto"/>
        <w:bottom w:val="none" w:sz="0" w:space="0" w:color="auto"/>
        <w:right w:val="none" w:sz="0" w:space="0" w:color="auto"/>
      </w:divBdr>
    </w:div>
    <w:div w:id="8460991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youtube.com/watch?v=9NkT-oYPkO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A9C1DFB2DC574D87FC946931163BEA"/>
        <w:category>
          <w:name w:val="General"/>
          <w:gallery w:val="placeholder"/>
        </w:category>
        <w:types>
          <w:type w:val="bbPlcHdr"/>
        </w:types>
        <w:behaviors>
          <w:behavior w:val="content"/>
        </w:behaviors>
        <w:guid w:val="{9D31E820-6400-8046-A7DA-E94CFD3FFC9F}"/>
      </w:docPartPr>
      <w:docPartBody>
        <w:p w14:paraId="3B6DFF70" w14:textId="51AAD504" w:rsidR="0070372C" w:rsidRDefault="0070372C" w:rsidP="0070372C">
          <w:pPr>
            <w:pStyle w:val="DDA9C1DFB2DC574D87FC946931163BEA"/>
          </w:pPr>
          <w:r>
            <w:t>[Type text]</w:t>
          </w:r>
        </w:p>
      </w:docPartBody>
    </w:docPart>
    <w:docPart>
      <w:docPartPr>
        <w:name w:val="DD8EE9344859FD46A42E5796DA6D75B3"/>
        <w:category>
          <w:name w:val="General"/>
          <w:gallery w:val="placeholder"/>
        </w:category>
        <w:types>
          <w:type w:val="bbPlcHdr"/>
        </w:types>
        <w:behaviors>
          <w:behavior w:val="content"/>
        </w:behaviors>
        <w:guid w:val="{AB002638-1708-4347-8A72-9BD315F6F094}"/>
      </w:docPartPr>
      <w:docPartBody>
        <w:p w14:paraId="26BE1041" w14:textId="6BC30AF7" w:rsidR="0070372C" w:rsidRDefault="0070372C" w:rsidP="0070372C">
          <w:pPr>
            <w:pStyle w:val="DD8EE9344859FD46A42E5796DA6D75B3"/>
          </w:pPr>
          <w:r>
            <w:t>[Type text]</w:t>
          </w:r>
        </w:p>
      </w:docPartBody>
    </w:docPart>
    <w:docPart>
      <w:docPartPr>
        <w:name w:val="ED5BE23A4C90D142A0456F32B7540A84"/>
        <w:category>
          <w:name w:val="General"/>
          <w:gallery w:val="placeholder"/>
        </w:category>
        <w:types>
          <w:type w:val="bbPlcHdr"/>
        </w:types>
        <w:behaviors>
          <w:behavior w:val="content"/>
        </w:behaviors>
        <w:guid w:val="{6772690D-EAEF-9D4B-869E-90D120E2EAB0}"/>
      </w:docPartPr>
      <w:docPartBody>
        <w:p w14:paraId="48CF7149" w14:textId="1BCFB824" w:rsidR="0070372C" w:rsidRDefault="0070372C" w:rsidP="0070372C">
          <w:pPr>
            <w:pStyle w:val="ED5BE23A4C90D142A0456F32B7540A8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2C"/>
    <w:rsid w:val="0070372C"/>
    <w:rsid w:val="00E14A99"/>
    <w:rsid w:val="00FC5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A9C1DFB2DC574D87FC946931163BEA">
    <w:name w:val="DDA9C1DFB2DC574D87FC946931163BEA"/>
    <w:rsid w:val="0070372C"/>
  </w:style>
  <w:style w:type="paragraph" w:customStyle="1" w:styleId="DD8EE9344859FD46A42E5796DA6D75B3">
    <w:name w:val="DD8EE9344859FD46A42E5796DA6D75B3"/>
    <w:rsid w:val="0070372C"/>
  </w:style>
  <w:style w:type="paragraph" w:customStyle="1" w:styleId="ED5BE23A4C90D142A0456F32B7540A84">
    <w:name w:val="ED5BE23A4C90D142A0456F32B7540A84"/>
    <w:rsid w:val="0070372C"/>
  </w:style>
  <w:style w:type="paragraph" w:customStyle="1" w:styleId="D2E47E465FA2A748931420BC534ECCB7">
    <w:name w:val="D2E47E465FA2A748931420BC534ECCB7"/>
    <w:rsid w:val="0070372C"/>
  </w:style>
  <w:style w:type="paragraph" w:customStyle="1" w:styleId="6A5FD270E5D6FE48948953A429375B61">
    <w:name w:val="6A5FD270E5D6FE48948953A429375B61"/>
    <w:rsid w:val="0070372C"/>
  </w:style>
  <w:style w:type="paragraph" w:customStyle="1" w:styleId="0D27AF61F1D0F345951F04DF8956736D">
    <w:name w:val="0D27AF61F1D0F345951F04DF8956736D"/>
    <w:rsid w:val="0070372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A9C1DFB2DC574D87FC946931163BEA">
    <w:name w:val="DDA9C1DFB2DC574D87FC946931163BEA"/>
    <w:rsid w:val="0070372C"/>
  </w:style>
  <w:style w:type="paragraph" w:customStyle="1" w:styleId="DD8EE9344859FD46A42E5796DA6D75B3">
    <w:name w:val="DD8EE9344859FD46A42E5796DA6D75B3"/>
    <w:rsid w:val="0070372C"/>
  </w:style>
  <w:style w:type="paragraph" w:customStyle="1" w:styleId="ED5BE23A4C90D142A0456F32B7540A84">
    <w:name w:val="ED5BE23A4C90D142A0456F32B7540A84"/>
    <w:rsid w:val="0070372C"/>
  </w:style>
  <w:style w:type="paragraph" w:customStyle="1" w:styleId="D2E47E465FA2A748931420BC534ECCB7">
    <w:name w:val="D2E47E465FA2A748931420BC534ECCB7"/>
    <w:rsid w:val="0070372C"/>
  </w:style>
  <w:style w:type="paragraph" w:customStyle="1" w:styleId="6A5FD270E5D6FE48948953A429375B61">
    <w:name w:val="6A5FD270E5D6FE48948953A429375B61"/>
    <w:rsid w:val="0070372C"/>
  </w:style>
  <w:style w:type="paragraph" w:customStyle="1" w:styleId="0D27AF61F1D0F345951F04DF8956736D">
    <w:name w:val="0D27AF61F1D0F345951F04DF8956736D"/>
    <w:rsid w:val="00703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4AD25-19F9-6A4A-8FE2-0BEBB861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818</Words>
  <Characters>4666</Characters>
  <Application>Microsoft Macintosh Word</Application>
  <DocSecurity>0</DocSecurity>
  <Lines>38</Lines>
  <Paragraphs>10</Paragraphs>
  <ScaleCrop>false</ScaleCrop>
  <Company>Boston College</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Jorgelina Gonzalez-Howard</cp:lastModifiedBy>
  <cp:revision>41</cp:revision>
  <dcterms:created xsi:type="dcterms:W3CDTF">2016-05-17T19:19:00Z</dcterms:created>
  <dcterms:modified xsi:type="dcterms:W3CDTF">2016-07-26T13:13:00Z</dcterms:modified>
</cp:coreProperties>
</file>